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2455">
      <w:pPr>
        <w:pStyle w:val="5"/>
        <w:widowControl/>
        <w:spacing w:before="0" w:beforeAutospacing="0" w:after="0" w:afterAutospacing="0" w:line="500" w:lineRule="atLeast"/>
        <w:ind w:right="30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-SA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-SA"/>
        </w:rPr>
        <w:t>江西工业贸易职业技术学院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-SA"/>
        </w:rPr>
        <w:t>公共设备维修服务采购项目方案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-SA"/>
        </w:rPr>
        <w:t>征集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-SA"/>
        </w:rPr>
        <w:t>模板</w:t>
      </w:r>
    </w:p>
    <w:bookmarkEnd w:id="2"/>
    <w:p w14:paraId="7A361359">
      <w:pPr>
        <w:bidi w:val="0"/>
      </w:pPr>
    </w:p>
    <w:p w14:paraId="7711541C">
      <w:pPr>
        <w:bidi w:val="0"/>
      </w:pPr>
    </w:p>
    <w:p w14:paraId="1D8BBD68">
      <w:pPr>
        <w:spacing w:line="580" w:lineRule="atLeast"/>
        <w:ind w:firstLine="640" w:firstLineChars="200"/>
        <w:outlineLvl w:val="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黑体" w:hAnsi="Times New Roman" w:eastAsia="黑体" w:cs="Times New Roman"/>
          <w:sz w:val="32"/>
          <w:szCs w:val="32"/>
        </w:rPr>
        <w:t>项目名称</w:t>
      </w:r>
    </w:p>
    <w:p w14:paraId="32AB6C62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江西工业贸易职业技术学院公共设备维修服务采购项目</w:t>
      </w:r>
    </w:p>
    <w:p w14:paraId="5F93D181">
      <w:pPr>
        <w:spacing w:line="580" w:lineRule="atLeast"/>
        <w:ind w:firstLine="640" w:firstLineChars="200"/>
        <w:outlineLvl w:val="0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二、项目采购规划方案</w:t>
      </w:r>
    </w:p>
    <w:p w14:paraId="3BDF941C">
      <w:pPr>
        <w:pStyle w:val="2"/>
        <w:spacing w:line="288" w:lineRule="auto"/>
        <w:ind w:firstLine="640" w:firstLineChars="200"/>
        <w:outlineLvl w:val="1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bookmarkStart w:id="0" w:name="_Toc149152843"/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（一）服务要求</w:t>
      </w:r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（包括但不限于以下几点）</w:t>
      </w:r>
    </w:p>
    <w:p w14:paraId="38CA1A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1.办公场所</w:t>
      </w:r>
    </w:p>
    <w:p w14:paraId="3F6399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48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服务机构在南昌市有固定办公场地，提供房屋产权证或租赁合同复印件。</w:t>
      </w:r>
    </w:p>
    <w:p w14:paraId="24BC67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2.人员配备</w:t>
      </w:r>
    </w:p>
    <w:p w14:paraId="554BFA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在合同期限内，必须保证项目的稳定，中途不随意更换人员。如因特殊原因(仅指重大疾病)需更换人员，必须征得甲方同意后，并保证替换人员资质不低于被替换人员的资质和合同的要求，并到相关监管部门备案，如因项目需要增加相关人员的，要积极调派符合资质要求的技术人员进场。如擅自更换技术人员，甲方有权提前解除合同，并要求中标供应商承担违约责任。</w:t>
      </w:r>
    </w:p>
    <w:p w14:paraId="220547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3.服务内容</w:t>
      </w:r>
    </w:p>
    <w:p w14:paraId="5A0CF3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学院各部门办公室和公共场所设备共计不少于6300台，其中打印机、复印机约302台、电脑约3238台、多媒体系统约1027台、投影约175台、音响功放约689台、话筒约234台、LED屏约28台、监控设备约172台、智慧黑板约237台、服务器约156台等公共设备维修。确保安全、高效、高质量完成维修。</w:t>
      </w:r>
    </w:p>
    <w:p w14:paraId="2DA53DDD">
      <w:pPr>
        <w:pStyle w:val="2"/>
        <w:spacing w:line="288" w:lineRule="auto"/>
        <w:ind w:firstLine="640" w:firstLineChars="200"/>
        <w:outlineLvl w:val="1"/>
        <w:rPr>
          <w:rFonts w:hint="default" w:ascii="楷体" w:hAnsi="楷体" w:eastAsia="楷体" w:cs="Times New Roman"/>
          <w:kern w:val="2"/>
          <w:sz w:val="32"/>
          <w:szCs w:val="32"/>
          <w:lang w:val="en-US" w:eastAsia="zh-CN" w:bidi="ar-SA"/>
        </w:rPr>
      </w:pPr>
      <w:bookmarkStart w:id="1" w:name="_Toc149152844"/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（二）商务要求</w:t>
      </w:r>
      <w:bookmarkEnd w:id="1"/>
    </w:p>
    <w:p w14:paraId="4F94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1.服务期：自合同签订日起2年或采购人实际应支付的合同款项服务费总额达到成交总金额，合同自行终止。</w:t>
      </w:r>
    </w:p>
    <w:p w14:paraId="72B78E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付款方式：公共设备维保主要服务项目及单台设备维修材料费，根据实际服务项目及数量以需求为准，费用结算方式以实际产生的维修量和中标折扣按季度据实结算，但不超过合同金额。服务过程中，实际发生的未列在此表中的故障项目，根据各设备厂家相关收费标准，由双方协商收费。服务商需开具正式税务发票交采购人，采购人收到发票后十个工作日内办理支付手续。</w:t>
      </w:r>
    </w:p>
    <w:p w14:paraId="732B893A">
      <w:pPr>
        <w:spacing w:line="580" w:lineRule="atLeast"/>
        <w:ind w:firstLine="640" w:firstLineChars="200"/>
        <w:outlineLvl w:val="0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三、评分方案</w:t>
      </w:r>
    </w:p>
    <w:tbl>
      <w:tblPr>
        <w:tblStyle w:val="6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695"/>
        <w:gridCol w:w="755"/>
      </w:tblGrid>
      <w:tr w14:paraId="2A42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D8811D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项目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5CFFD4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细则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E0DE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分值</w:t>
            </w:r>
          </w:p>
        </w:tc>
      </w:tr>
      <w:tr w14:paraId="139E7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453AE1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价格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1F478B2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价格分采用低价优先法计算，即满足磋商文件要求且投标报价最低的投标报价为评标基准价，其价格分为满分。其他供应商的价格分统一按下列公式计算：投标报价得分=（评标基准价/投标报价）×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分值</w:t>
            </w:r>
            <w:r>
              <w:rPr>
                <w:rFonts w:hint="eastAsia" w:ascii="宋体" w:hAnsi="宋体" w:cs="宋体"/>
                <w:kern w:val="0"/>
                <w:szCs w:val="21"/>
              </w:rPr>
              <w:t>%×100；计算结果保留至小数点后两位。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E49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分</w:t>
            </w:r>
          </w:p>
        </w:tc>
      </w:tr>
      <w:tr w14:paraId="6472D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BC7A6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服务要求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部分（分）</w:t>
            </w:r>
          </w:p>
        </w:tc>
      </w:tr>
      <w:tr w14:paraId="40A1B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A4EA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供应商需完全响应磋商文件“服务要求”，否则响应无效。</w:t>
            </w:r>
          </w:p>
        </w:tc>
      </w:tr>
      <w:tr w14:paraId="2564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2D4F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699B96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2F1E4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4F6B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435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4D4E53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17242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C8EF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4D6E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ED3A4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836BC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0BCC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84AF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AA04B4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6A99F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5BD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D42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6635C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F1CB5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F6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87D4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商务部分（分）</w:t>
            </w:r>
          </w:p>
        </w:tc>
      </w:tr>
      <w:tr w14:paraId="1993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4645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供应商需完全响应磋商文件“商务条款要求”，否则响应无效。</w:t>
            </w:r>
          </w:p>
        </w:tc>
      </w:tr>
      <w:tr w14:paraId="0D64C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6D9BC1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E75D182">
            <w:pPr>
              <w:pStyle w:val="4"/>
              <w:spacing w:line="360" w:lineRule="auto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31818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E5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AA5E0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292D0B">
            <w:pPr>
              <w:pStyle w:val="4"/>
              <w:spacing w:line="360" w:lineRule="auto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7DB3C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95C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5978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BFF97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3088E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048ED710">
      <w:pPr>
        <w:numPr>
          <w:ilvl w:val="0"/>
          <w:numId w:val="0"/>
        </w:numPr>
        <w:bidi w:val="0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</w:p>
    <w:p w14:paraId="5BD175D6"/>
    <w:sectPr>
      <w:pgSz w:w="11906" w:h="16838"/>
      <w:pgMar w:top="2098" w:right="1474" w:bottom="198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75C098-6027-433C-9944-41834A74B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E5C2B45-EB35-4A60-9B05-256632CFC5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395DE3-7A9A-4CF1-ADFF-A0A94B9C25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3053BC8-8D5C-467D-A9D5-2C4ED82F50F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735DB5E-3D8C-4717-A77E-1048A1DF470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B0D4357C-9000-466F-AC06-6BF802BB6B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C2E5A"/>
    <w:rsid w:val="006F344F"/>
    <w:rsid w:val="03353615"/>
    <w:rsid w:val="03AA7B5F"/>
    <w:rsid w:val="060914B4"/>
    <w:rsid w:val="0753050D"/>
    <w:rsid w:val="0F7E602B"/>
    <w:rsid w:val="0FD04DF1"/>
    <w:rsid w:val="113373E5"/>
    <w:rsid w:val="1BA809D0"/>
    <w:rsid w:val="1D65301C"/>
    <w:rsid w:val="20485D49"/>
    <w:rsid w:val="217C2E5A"/>
    <w:rsid w:val="275B2D9A"/>
    <w:rsid w:val="29B204B3"/>
    <w:rsid w:val="2C671227"/>
    <w:rsid w:val="2C9B7450"/>
    <w:rsid w:val="32F309A3"/>
    <w:rsid w:val="330A0321"/>
    <w:rsid w:val="35441312"/>
    <w:rsid w:val="3643781B"/>
    <w:rsid w:val="3D8A5D30"/>
    <w:rsid w:val="3E832EAB"/>
    <w:rsid w:val="419402F5"/>
    <w:rsid w:val="49F42D12"/>
    <w:rsid w:val="4FBB7FCB"/>
    <w:rsid w:val="528B2882"/>
    <w:rsid w:val="5CBB785C"/>
    <w:rsid w:val="687860C3"/>
    <w:rsid w:val="6F655B31"/>
    <w:rsid w:val="72095D23"/>
    <w:rsid w:val="7A4D5B40"/>
    <w:rsid w:val="7FD603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rFonts w:ascii="宋体" w:hAnsi="Arial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868</Characters>
  <Lines>0</Lines>
  <Paragraphs>0</Paragraphs>
  <TotalTime>13</TotalTime>
  <ScaleCrop>false</ScaleCrop>
  <LinksUpToDate>false</LinksUpToDate>
  <CharactersWithSpaces>868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2025-09-16T00:27:00Z</dcterms:created>
  <dc:creator>魏志民</dc:creator>
  <cp:lastModifiedBy>在水一方</cp:lastModifiedBy>
  <dcterms:modified xsi:type="dcterms:W3CDTF">2026-07-02T06:38:48Z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B0529F2FF916497B98D0C164E6E2CDD5_13</vt:lpwstr>
  </property>
  <property fmtid="{D5CDD505-2E9C-101B-9397-08002B2CF9AE}" pid="4" name="KSOTemplateDocerSaveRecord">
    <vt:lpwstr>eyJoZGlkIjoiNzUzNjk3MWY1MmRmZjE0YmY2ZTIyMjkxNTNkNTkxYTYiLCJ1c2VySWQiOiI4MzMyMDU1MjkifQ==</vt:lpwstr>
  </property>
</Properties>
</file>